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D958E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794C3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Роль, значение и проблемы развития машиностроения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C0D89" w:rsidRPr="005C4760" w:rsidRDefault="00794C34" w:rsidP="005C476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параграф 14. Запишите определение задачи машиностроительного комплекса (МСК) и выполните его схему в тетради (рис.28, стр. 67). Объясните, что означает формула «1:2:4»?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794C34">
        <w:rPr>
          <w:rFonts w:ascii="Times New Roman" w:hAnsi="Times New Roman" w:cs="Times New Roman"/>
          <w:sz w:val="24"/>
          <w:szCs w:val="24"/>
        </w:rPr>
        <w:t>ы после параграфа 14 (устно) на стр. 68.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7218DA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958E6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43BD-3569-47AA-9FDB-9DF7E1AC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2020-10-14T04:51:00Z</dcterms:created>
  <dcterms:modified xsi:type="dcterms:W3CDTF">2020-10-14T04:51:00Z</dcterms:modified>
</cp:coreProperties>
</file>